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21">
        <w:rPr>
          <w:rFonts w:ascii="Times New Roman" w:hAnsi="Times New Roman" w:cs="Times New Roman"/>
          <w:b/>
          <w:sz w:val="28"/>
          <w:szCs w:val="28"/>
        </w:rPr>
        <w:t>Демоверсия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промежуточной аттестации 11 класс</w:t>
      </w:r>
    </w:p>
    <w:p w:rsidR="009C4AAE" w:rsidRPr="00271821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  <w:bookmarkStart w:id="0" w:name="_GoBack"/>
      <w:bookmarkEnd w:id="0"/>
    </w:p>
    <w:p w:rsidR="009C4AAE" w:rsidRDefault="009C4AAE" w:rsidP="009C4AAE">
      <w:pPr>
        <w:pStyle w:val="leftmargin"/>
        <w:jc w:val="both"/>
      </w:pPr>
      <w:r w:rsidRPr="000968F8">
        <w:rPr>
          <w:b/>
        </w:rPr>
        <w:t>Задание:</w:t>
      </w:r>
      <w:r>
        <w:t xml:space="preserve"> напишите сочинение – рассуждение по проблеме исходного текста </w:t>
      </w:r>
      <w:r w:rsidRPr="0037307C">
        <w:t>«</w:t>
      </w:r>
      <w:r w:rsidRPr="0037307C">
        <w:rPr>
          <w:bCs/>
          <w:color w:val="000000"/>
          <w:bdr w:val="none" w:sz="0" w:space="0" w:color="auto" w:frame="1"/>
          <w:shd w:val="clear" w:color="auto" w:fill="FFFFFF"/>
        </w:rPr>
        <w:t>Возвращение в родные края – это счастье или несчастье для человека?</w:t>
      </w:r>
      <w:r w:rsidRPr="0037307C">
        <w:t>».</w:t>
      </w:r>
    </w:p>
    <w:p w:rsidR="009C4AAE" w:rsidRDefault="009C4AAE" w:rsidP="009C4AAE">
      <w:pPr>
        <w:pStyle w:val="leftmargin"/>
        <w:jc w:val="both"/>
      </w:pPr>
      <w:r>
        <w:t>Сформулируйте позицию автора (рассказчика) по указанной проблеме. Прокомментируйте, как в тексте раскрывается эта позиция. Включите в комментарий два примера-иллюстрации из прочитанного текста, важные для понимания позиции автора (рассказчика), и поясните их. Укажите и поясните смысловую связь между приведёнными примерами-иллюстрациями.</w:t>
      </w:r>
    </w:p>
    <w:p w:rsidR="009C4AAE" w:rsidRDefault="009C4AAE" w:rsidP="009C4AAE">
      <w:pPr>
        <w:pStyle w:val="leftmargin"/>
        <w:jc w:val="both"/>
      </w:pPr>
      <w:r>
        <w:t xml:space="preserve">Сформулируйте и обоснуйте своё отношение к позиции автора (рассказчика) по проблеме исходного текста. Включите в обоснование пример-аргумент, опираясь на читательский, </w:t>
      </w:r>
      <w:proofErr w:type="spellStart"/>
      <w:r>
        <w:t>историко</w:t>
      </w:r>
      <w:proofErr w:type="spellEnd"/>
      <w:r>
        <w:t xml:space="preserve"> – культурный или жизненный опыт. (Не допускается обращение к таким жанрам, как комикс, </w:t>
      </w:r>
      <w:proofErr w:type="spellStart"/>
      <w:r>
        <w:t>аниме</w:t>
      </w:r>
      <w:proofErr w:type="spellEnd"/>
      <w:r>
        <w:t xml:space="preserve">, </w:t>
      </w:r>
      <w:proofErr w:type="spellStart"/>
      <w:r>
        <w:t>манга</w:t>
      </w:r>
      <w:proofErr w:type="spellEnd"/>
      <w:r>
        <w:t xml:space="preserve">, </w:t>
      </w:r>
      <w:proofErr w:type="spellStart"/>
      <w:r>
        <w:t>фанфик</w:t>
      </w:r>
      <w:proofErr w:type="spellEnd"/>
      <w:r>
        <w:t>, графический роман, компьютерная игра.)</w:t>
      </w:r>
    </w:p>
    <w:p w:rsidR="009C4AAE" w:rsidRDefault="009C4AAE" w:rsidP="009C4AAE">
      <w:pPr>
        <w:pStyle w:val="leftmargin"/>
        <w:jc w:val="both"/>
      </w:pPr>
      <w:r>
        <w:t xml:space="preserve">Объём сочинения – не менее 150 слов. Работа, написанная без опоры на прочитанный текст (не по данному тексту) или несамостоятельно, не оценивается. Если сочинение представляет собой полностью переписанный или пересказанный исходный текст без каких </w:t>
      </w:r>
      <w:proofErr w:type="gramStart"/>
      <w:r>
        <w:t>бы</w:t>
      </w:r>
      <w:proofErr w:type="gramEnd"/>
      <w:r>
        <w:t xml:space="preserve"> то ни было комментариев, такая работа оценивается 0 баллов.</w:t>
      </w:r>
    </w:p>
    <w:p w:rsidR="009C4AAE" w:rsidRDefault="009C4AAE" w:rsidP="009C4AAE">
      <w:pPr>
        <w:pStyle w:val="leftmargin"/>
        <w:jc w:val="both"/>
      </w:pPr>
      <w:r>
        <w:t>Сочинение пишите аккуратно и разборчиво, соблюдая нормы современного русского литературного языка.</w:t>
      </w:r>
    </w:p>
    <w:p w:rsidR="009C4AAE" w:rsidRDefault="009C4AAE" w:rsidP="009C4AA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C4AAE" w:rsidRPr="0037307C" w:rsidRDefault="009C4AAE" w:rsidP="009C4AAE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1)Подъезжая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родному гнезду, я не узнавал себя.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2)Я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воображал, чтобы мне так легко обошлась разлука с Петербургом и так радостно было снова увидеть деревню, где протекло моё детство. (З)Всё, что казалось мне тогда тягостным, досадливым, исчезло как бы само собою.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4)Тёплое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чувство по отношению к матери пробуждалось во мне в первый раз с такой силой.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5)Мне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нетерпеливо хотелось обнять её и поблагодарить за снисхождение к моим бросаниям из стороны в сторону, к моим отступлениям против её желаний, — за всё, что она для меня сделала.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6)Я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ждал минуты, когда увижу старого Николая, бывшего отцовского слугу, носившего меня на руках и любившего меня, будто родного сына.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7)Я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вспоминал, как Николай часами караулил, когда меня пустят гулять, брал на руки, водил по полям и рощам, рассказывал разные истории и сказки.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8)Сердце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моё окончательно размягчилось, когда при въезде на последний пригорок передо мной открылась долины речки </w:t>
      </w:r>
      <w:proofErr w:type="spell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Смедвы</w:t>
      </w:r>
      <w:proofErr w:type="spell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9)Сама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Смедва</w:t>
      </w:r>
      <w:proofErr w:type="spell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блеснула в своих изгибах, замкнутых зеленеющими склонами с их рощами, когда в глубине обрисовался тёмный старый сад с его липовыми аллеями и подле него крыша нашего дома.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10)Когда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тарантас въехал на двор, матушка стояла на крыльце и махала платком, из-за её плеча выглядывал чепец бабушки.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11)Николай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окончательно поседевший, белый как лунь, и дворовые окружили меня.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12)После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обниманий</w:t>
      </w:r>
      <w:proofErr w:type="spell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целований мы вошли в дом, показавшийся мне несравненно меньше, чем казался в детстве.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13)После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расспросов родных и близких о моих занятиях и творческих планах матушка отвела меня в комнату, заблаговременно для меня приготовленную.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14)Она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выходила окнами в сад, частью на поворот дороги, огибавшей </w:t>
      </w:r>
      <w:proofErr w:type="spell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Смедву</w:t>
      </w:r>
      <w:proofErr w:type="spell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осенённую с этой стороны столетними деревьями.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15)Не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помню, чтобы я чувствовал когда-нибудь себя более счастливым.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16)Я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сознавал, что пришёл конец моим мытарствам, что пора одуматься, пора прийти в себя, приняться за работу и доказать, что мои порывы к литературе были не мимолётными капризами, а признаком врождённого призвания.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17)Тишина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меня окружавшая, производила на меня обаятельное действие — як ней прислушивался, как к сладчайшей музыке.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18)Благословенная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 тишина нежила меня, но не давала, однако ж, подходящей темы для повести, которую я во что бы то ни стало хотел сочинить.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19)Я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бродил по целым дням в полях и лесах, любовался картинами природы, напрасно целыми днями и ночами напрягал воображение, выискивая интересный сюжет.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20)Бывали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часы, но и дни, когда при всём усилии я не мог написать ни строчки.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21)Я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приходил в совершенное отчаяние, искренне убеждённый, что лишился способности писать.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22)Такое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знакомо более или менее каждому писателю настолько же, насколько знакомо также то неожиданное нервное возбуждение, когда пишется легко и свободно, без всякого принуждения.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23)Последнее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было бы назвать настроением, расположением, пожалуй, вдохновением.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24)Как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объяснить, в самом деле, таинственный процесс, внезапно охватывающий человека во время его работы? 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25)Чем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объяснить, например, что опытный писатель часто бьётся как рыба об лёд в бессилии собрать мысли, в бесполезном старании набросать их на бумагу, сочинить иногда складно самое незатейливое простое письмо, и вдруг без всякого повода, без всякой видимой, внешней причины возвращается бодрость духа, мысли проясняются, впечатления складываются в живые образы, слова, которые надо было высказать, напрашиваются как бы сами собой?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26)Пробуждённая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творческая способность настолько могущественнее воли писателя, что во время её прилива пишется точно под чью-то настоятельную диктовку, и всё, что выходит из-под пера, отмечается чем-то живым, образным, наблюдательным.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Д. В. Григоровичу</w:t>
      </w:r>
      <w:proofErr w:type="gramStart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*)</w:t>
      </w:r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</w:t>
      </w:r>
      <w:proofErr w:type="gramEnd"/>
      <w:r w:rsidRPr="00373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Дмитрий Васильевич Григорович (1822-1900) — русский писатель, публицист, автор воспоминаний о своих современниках.</w:t>
      </w: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Pr="00A63572" w:rsidRDefault="009C4AAE" w:rsidP="009C4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Критерии оценивания</w:t>
      </w:r>
      <w:r w:rsidRPr="00A6357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tbl>
      <w:tblPr>
        <w:tblW w:w="5155" w:type="pct"/>
        <w:tblCellSpacing w:w="0" w:type="dxa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242"/>
        <w:gridCol w:w="906"/>
      </w:tblGrid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Критерии оценивания ответа на задание 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Баллы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Содержание сочинения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Отражение позиции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автора (рассказчика) по указанной проблеме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исходного текста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  автора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(рассказчика) по указанной проблеме исходного текста сформулирована верно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  автора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(рассказчика)  по  указанной  проблеме исходного текста не сформулирована или сформулирована неверно.</w:t>
            </w: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Указание  к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 оцениванию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  </w:t>
            </w:r>
            <w:proofErr w:type="gramStart"/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Если  экзаменуемый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 сформулировал или сформулировал неверно позицию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автора (рассказчика) по указанной проблеме исходного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текста,  то  такая  работа  по  критериям  К2  и  К3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оценивается 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Комментарий к позиции автора (рассказчика) по указанной проблеме исходного текста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  автора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(рассказчика)  по  указанной  проблеме исходного текста прокомментирована с опорой на исходный текст.</w:t>
            </w: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Приведено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примера-иллюстрации 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 прочитанного текста, </w:t>
            </w:r>
            <w:proofErr w:type="gramStart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важных  для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понимания  позиции  автора  (рассказчика) по указанной проблеме исходного текста. Дано пояснение к каждому из примеров-иллюстраций.</w:t>
            </w: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смысловая связь между приведёнными примерами-иллюстрациями. Дано пояснение к 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  автора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(рассказчика)  по  указанной  проблеме исходного текста прокомментирована с опорой на исходный текст.</w:t>
            </w: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Приведено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 примера-иллюстрации 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 прочитанного текста, </w:t>
            </w:r>
            <w:proofErr w:type="gramStart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важных  для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понимания  позиции  автора  (рассказчика) по указанной проблеме исходного текста. Дано пояснение к каждому из примеров-иллюстраций.</w:t>
            </w: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     связь      между     приведёнными     примерами- иллюстрациями не указана,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или 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 дано её пояснение,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или 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дано неверное пояснение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  автора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(рассказчика)  по  указанной  проблеме исходного текста прокомментирована с опорой на исходный текст.</w:t>
            </w: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Приведён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пример-иллюстрация 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 прочитанного текста, </w:t>
            </w:r>
            <w:proofErr w:type="gramStart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важный  для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понимания  позиции  автора  (рассказчика) по указанной проблеме исходного текста. Дано пояснение к этому примеру-иллюстрации.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Приведён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 пример-иллюстрация 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прочитанного текста, важный  для понимания  позиции автора (рассказчика) по указанной проблеме исходного текста,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 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 к нему отсутствует.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 одного примера-иллюстрации из прочитанного текста, важного для понимания позиции автора (рассказчика) по указанной проблеме исходного текста, не приведено.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Позиция автора (рассказчика) по указанной проблеме исходного текста прокомментирована без опоры на исходный текст.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Вместо комментария дан простой пересказ исходного текста.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Вместо комментария процитирован большой фрагмент исходного текста.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Позиция автора (рассказчика) по указанной проблеме исходного текста не прокомментирована.</w:t>
            </w: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Указания к оцениванию</w:t>
            </w:r>
          </w:p>
          <w:p w:rsidR="009C4AAE" w:rsidRPr="00A63572" w:rsidRDefault="009C4AAE" w:rsidP="00091161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Если экзаменуемый при комментировании позиции автора (рассказчика) по указанной проблеме исходного текста привёл пример-иллюстрацию, но не пояснил его, то такой пример-иллюстрация не засчитывается.</w:t>
            </w:r>
          </w:p>
          <w:p w:rsidR="009C4AAE" w:rsidRPr="00A63572" w:rsidRDefault="009C4AAE" w:rsidP="00091161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Если экзаменуемый при комментировании позиции автора (рассказчика) по указанной проблеме исходного текста допустил фактическую ошибку, то данная ошибка </w:t>
            </w:r>
            <w:proofErr w:type="gramStart"/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учитывается  при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 оценивании  работы  по  критерию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«Фактическая точность речи» (К4)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Собственное    отношение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  к      позиции    автора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(рассказчика)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 указанной проблеме исходного текста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отношение к позиции автора (рассказчика) по указанной проблеме исходного текста сформулировано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обосновано. Приведён пример-аргумент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отношение к позиции автора (рассказчика) по указанной проблеме исходного текста сформулировано и обосновано. Пример-аргумент не приведён.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Приведён пример-аргумент,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  собственное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отношение к позиции автора (рассказчика) по указанной проблеме исходного   текста   заявлено   формально   (например,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«Я согласен / не согласен с автором»).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отношение к позиции автора (рассказчика) по указанной проблеме исходного текста заявлено лишь формально (например, «Я согласен / не согласен с автором»).</w:t>
            </w: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отношение к позиции автора (рассказчика) по указанной проблеме исходного текста не сформулировано и не обосновано. Пример-аргумент не приведён.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Формулировка и (или) обоснование собственного отношения к позиции автора (рассказчика) не соответствуют указанной проблеме исходного текста.</w:t>
            </w:r>
          </w:p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Указания к оцениванию</w:t>
            </w:r>
          </w:p>
          <w:p w:rsidR="009C4AAE" w:rsidRPr="00A63572" w:rsidRDefault="009C4AAE" w:rsidP="00091161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Источником для примера-аргумента служит читательский, историко-культурный или жизненный опыт.</w:t>
            </w:r>
          </w:p>
          <w:p w:rsidR="009C4AAE" w:rsidRPr="00A63572" w:rsidRDefault="009C4AAE" w:rsidP="00091161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Не принимаются в качестве содержательной основы для примера-аргумента комикс, </w:t>
            </w:r>
            <w:proofErr w:type="spellStart"/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аниме</w:t>
            </w:r>
            <w:proofErr w:type="spellEnd"/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манга</w:t>
            </w:r>
            <w:proofErr w:type="spellEnd"/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фанфик</w:t>
            </w:r>
            <w:proofErr w:type="spellEnd"/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графический роман, компьютерная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Речевое оформление сочинения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Фактическая точность речи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ошибки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одна фактическая ошибка или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Логичность речи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ошибки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одна логическая ошибка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две логические ошибки или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Соблюдение этических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ошибки 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работе приводятся примеры экстремистских и/или иных запрещённых к производству и распространению среди несовершеннолетних материалов / социально неприемлемого поведения людей / имеются высказывания, нарушающие законодательство Российской Федерации (пропаганда фашизма, антигосударственных идей, нетрадиционных ценностей, употребление нецензурной брани, иностранных слов, имеющих общеупотребительные аналоги в русском языке и не содержащихся в нормативных словарях, и т. 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81B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ru-RU"/>
              </w:rPr>
              <w:t>Грамотность сочинения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Соблюдение орфографических норм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Орфографических ошибок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одна-две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пять ошибок или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Соблюдение пунктуационных норм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Пунктуационных ошибок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одна-две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пять ошибок или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Соблюдение грамматических норм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Грамматических ошибок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одна-две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пять ошибок или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Соблюдение речевых норм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 ошибок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одна-две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Допущены три-четыре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Допущено пять ошибок или более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4AAE" w:rsidRPr="00A63572" w:rsidTr="00091161">
        <w:trPr>
          <w:tblCellSpacing w:w="0" w:type="dxa"/>
        </w:trPr>
        <w:tc>
          <w:tcPr>
            <w:tcW w:w="4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 </w:t>
            </w:r>
            <w:proofErr w:type="gramStart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баллов</w:t>
            </w:r>
            <w:proofErr w:type="gramEnd"/>
            <w:r w:rsidRPr="00A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за  выполнение  задания  27 (К1–К10)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4AAE" w:rsidRPr="00A63572" w:rsidRDefault="009C4AAE" w:rsidP="00091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5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</w:tr>
    </w:tbl>
    <w:p w:rsidR="009C4AAE" w:rsidRPr="00A63572" w:rsidRDefault="009C4AAE" w:rsidP="009C4AA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6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35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635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оценке грамотности (К7–К10) следует учитывать объём сочинения</w:t>
      </w:r>
      <w:r w:rsidRPr="00A635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1</w:t>
      </w:r>
      <w:r w:rsidRPr="00A635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Указанные в таблице нормы оценивания разработаны для сочинения объёмом 150 слов или более</w:t>
      </w:r>
      <w:r w:rsidRPr="00A6357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2</w:t>
      </w:r>
      <w:r w:rsidRPr="00A635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C4AAE" w:rsidRDefault="009C4AAE" w:rsidP="009C4AA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 сочинении </w:t>
      </w:r>
      <w:r w:rsidRPr="00A635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99 слов или менее</w:t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такая работа не засчитывается и оценивается нулём баллов, задание считается невыполненным.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оценке сочинения объёмом </w:t>
      </w:r>
      <w:r w:rsidRPr="00A635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 100 до 149 слов</w:t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количество допустимых ошибок четырёх видов (К7–К10) уменьшается. Два балла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этим критериям ставится в следующих случаях: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К7 – орфографических ошибок нет;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К8 – пунктуационных ошибок нет;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К9 – грамматических ошибок нет;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К10 – речевых ошибок нет.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балл по этим критериям ставится в следующих случаях: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К7 – допущено не более двух ошибок;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К8 – допущено не более двух ошибок;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К9 – допущено не более двух ошибок;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К10 – допущено не более двух ошибок.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Высший балл по критериям К7–К10 за работу объёмом </w:t>
      </w:r>
      <w:r w:rsidRPr="00A6357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 100 до 149</w:t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 не ставится.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Работа, написанная без опоры на прочитанный текст (не по данному тексту) или не самостоятельно, не оценивается.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сочинение представляет собой полностью переписанный или пересказанный исходный текст без каких бы то ни было комментариев, такая работа по всем аспектам проверки (К1−К10) оценивается 0 баллов.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 работе, представляющей собой частично переписанный или пересказанный исходный текст, содержатся фрагменты текста экзаменуемого, то при проверке </w:t>
      </w:r>
      <w:r w:rsidRPr="00A63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учитывается только количество слов, которое принадлежит экзаменуемому.</w:t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Pr="00A6357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При подсчёте слов учитываются как самостоятельные, так и служебные части речи. Подсчитывается любая последовательность слов, написанных без пробела (например, «всё-таки» – одно слово, «всё же» – два слова). Инициалы с фамилией считаются одним словом (например, «М.Ю. Лермонтов» – одно слово). Любые другие символы, в частности цифры, при подсчёте не учитываются (например, «5 лет» – одно слово, «пять лет» – два слова).</w:t>
      </w:r>
      <w:r w:rsidRPr="00A6357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A6357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Pr="00A6357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Если сочинение содержит частично или полностью переписанную экзаменуемым информацию об авторе текста, то объём такой работы определяется без учёта информации об авторе текста.</w:t>
      </w:r>
    </w:p>
    <w:p w:rsidR="009C4AAE" w:rsidRDefault="009C4AAE" w:rsidP="009C4AA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C4AAE" w:rsidRPr="00A63572" w:rsidRDefault="009C4AAE" w:rsidP="009C4AAE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63572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Шкала перевода баллов в отметку</w:t>
      </w:r>
    </w:p>
    <w:p w:rsidR="009C4AAE" w:rsidRDefault="009C4AAE" w:rsidP="009C4AA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26 – 27 баллов – «5»</w:t>
      </w:r>
    </w:p>
    <w:p w:rsidR="009C4AAE" w:rsidRDefault="009C4AAE" w:rsidP="009C4AA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 20 до 25 баллов – «4»</w:t>
      </w:r>
    </w:p>
    <w:p w:rsidR="009C4AAE" w:rsidRDefault="009C4AAE" w:rsidP="009C4AA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 14 до 19 баллов – «3»</w:t>
      </w:r>
    </w:p>
    <w:p w:rsidR="009C4AAE" w:rsidRPr="00A63572" w:rsidRDefault="009C4AAE" w:rsidP="009C4AA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От 0 до 13 баллов - «2»</w:t>
      </w:r>
    </w:p>
    <w:p w:rsidR="009C4AAE" w:rsidRPr="00A63572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Pr="00A63572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C4AAE" w:rsidRPr="00A63572" w:rsidRDefault="009C4AAE" w:rsidP="009C4AAE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F5887" w:rsidRDefault="00AF5887"/>
    <w:sectPr w:rsidR="00AF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D595C"/>
    <w:multiLevelType w:val="multilevel"/>
    <w:tmpl w:val="BC74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3E4DCF"/>
    <w:multiLevelType w:val="multilevel"/>
    <w:tmpl w:val="A3A8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F7"/>
    <w:rsid w:val="009C4AAE"/>
    <w:rsid w:val="00AF5887"/>
    <w:rsid w:val="00B7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5FEA4-D95D-4516-AC51-B7619E01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9C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1996</Words>
  <Characters>11379</Characters>
  <Application>Microsoft Office Word</Application>
  <DocSecurity>0</DocSecurity>
  <Lines>94</Lines>
  <Paragraphs>26</Paragraphs>
  <ScaleCrop>false</ScaleCrop>
  <Company/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licei18</dc:creator>
  <cp:keywords/>
  <dc:description/>
  <cp:lastModifiedBy>licei18</cp:lastModifiedBy>
  <cp:revision>2</cp:revision>
  <dcterms:created xsi:type="dcterms:W3CDTF">2025-03-05T08:36:00Z</dcterms:created>
  <dcterms:modified xsi:type="dcterms:W3CDTF">2025-03-05T08:37:00Z</dcterms:modified>
</cp:coreProperties>
</file>